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omylnie"/>
        <w:rPr>
          <w:i/>
          <w:i/>
          <w:sz w:val="16"/>
          <w:szCs w:val="16"/>
        </w:rPr>
      </w:pPr>
      <w:r>
        <w:rPr>
          <w:rFonts w:ascii="Verdana" w:hAnsi="Verdana"/>
          <w:bCs/>
          <w:i/>
          <w:iCs/>
          <w:sz w:val="16"/>
          <w:szCs w:val="16"/>
          <w:u w:val="single"/>
        </w:rPr>
        <w:t>Załącznik nr 12</w:t>
      </w:r>
      <w:r>
        <w:rPr>
          <w:rFonts w:ascii="Verdana" w:hAnsi="Verdana"/>
          <w:bCs/>
          <w:i/>
          <w:iCs/>
          <w:sz w:val="16"/>
          <w:szCs w:val="16"/>
        </w:rPr>
        <w:t xml:space="preserve"> </w:t>
      </w:r>
      <w:r>
        <w:rPr>
          <w:rFonts w:ascii="Verdana" w:hAnsi="Verdana"/>
          <w:i/>
          <w:iCs/>
          <w:sz w:val="16"/>
          <w:szCs w:val="16"/>
        </w:rPr>
        <w:t>do Umowy Nr ......./WIR/Z/........../............ z dnia ............................. roku</w:t>
      </w:r>
    </w:p>
    <w:p>
      <w:pPr>
        <w:pStyle w:val="Domylnie"/>
        <w:jc w:val="right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Domylnie"/>
        <w:spacing w:lineRule="atLeast" w:line="115" w:before="0" w:after="0"/>
        <w:jc w:val="both"/>
        <w:rPr>
          <w:sz w:val="16"/>
          <w:szCs w:val="16"/>
        </w:rPr>
      </w:pPr>
      <w:r>
        <w:rPr>
          <w:rFonts w:ascii="Verdana" w:hAnsi="Verdana"/>
          <w:sz w:val="16"/>
          <w:szCs w:val="16"/>
        </w:rPr>
        <w:t>…</w:t>
      </w:r>
      <w:r>
        <w:rPr>
          <w:rFonts w:ascii="Verdana" w:hAnsi="Verdana"/>
          <w:sz w:val="16"/>
          <w:szCs w:val="16"/>
        </w:rPr>
        <w:t xml:space="preserve">..........., dnia …....................................                                                                         </w:t>
      </w:r>
    </w:p>
    <w:p>
      <w:pPr>
        <w:pStyle w:val="Domylnie"/>
        <w:spacing w:lineRule="atLeast" w:line="115" w:before="0" w:after="0"/>
        <w:jc w:val="right"/>
        <w:rPr>
          <w:sz w:val="16"/>
          <w:szCs w:val="16"/>
        </w:rPr>
      </w:pPr>
      <w:r>
        <w:rPr>
          <w:rFonts w:ascii="Verdana" w:hAnsi="Verdana"/>
          <w:sz w:val="16"/>
          <w:szCs w:val="16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>…..........................................</w:t>
      </w:r>
    </w:p>
    <w:p>
      <w:pPr>
        <w:pStyle w:val="Domylnie"/>
        <w:spacing w:lineRule="atLeast" w:line="115" w:before="0" w:after="0"/>
        <w:jc w:val="both"/>
        <w:rPr>
          <w:sz w:val="16"/>
          <w:szCs w:val="16"/>
        </w:rPr>
      </w:pPr>
      <w:r>
        <w:rPr>
          <w:rFonts w:ascii="Verdana" w:hAnsi="Verdana"/>
          <w:sz w:val="16"/>
          <w:szCs w:val="16"/>
        </w:rPr>
        <w:tab/>
        <w:tab/>
        <w:tab/>
        <w:tab/>
        <w:tab/>
        <w:tab/>
        <w:tab/>
        <w:tab/>
        <w:tab/>
        <w:tab/>
        <w:tab/>
      </w:r>
      <w:r>
        <w:rPr>
          <w:rFonts w:ascii="Verdana" w:hAnsi="Verdana"/>
          <w:i/>
          <w:iCs/>
          <w:sz w:val="16"/>
          <w:szCs w:val="16"/>
        </w:rPr>
        <w:t>pieczęć firmowa</w:t>
      </w:r>
    </w:p>
    <w:p>
      <w:pPr>
        <w:pStyle w:val="Domylnie"/>
        <w:jc w:val="center"/>
        <w:rPr>
          <w:sz w:val="16"/>
          <w:szCs w:val="16"/>
        </w:rPr>
      </w:pPr>
      <w:r>
        <w:rPr>
          <w:rFonts w:ascii="Verdana" w:hAnsi="Verdana"/>
          <w:b/>
          <w:sz w:val="16"/>
          <w:szCs w:val="16"/>
          <w:u w:val="single"/>
        </w:rPr>
        <w:t xml:space="preserve">GWARANCJA </w:t>
      </w:r>
      <w:r>
        <w:rPr>
          <w:rFonts w:ascii="Verdana" w:hAnsi="Verdana"/>
          <w:b/>
          <w:color w:val="000000"/>
          <w:sz w:val="16"/>
          <w:szCs w:val="16"/>
          <w:u w:val="single"/>
        </w:rPr>
        <w:t>JAKOŚCI</w:t>
      </w:r>
    </w:p>
    <w:p>
      <w:pPr>
        <w:pStyle w:val="Domylnie"/>
        <w:jc w:val="center"/>
        <w:rPr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na roboty budowlane pn.:</w:t>
      </w:r>
    </w:p>
    <w:p>
      <w:pPr>
        <w:pStyle w:val="Domylnie"/>
        <w:jc w:val="center"/>
        <w:rPr>
          <w:sz w:val="16"/>
          <w:szCs w:val="16"/>
        </w:rPr>
      </w:pPr>
      <w:r>
        <w:rPr>
          <w:rFonts w:ascii="Verdana" w:hAnsi="Verdana"/>
          <w:i/>
          <w:sz w:val="16"/>
          <w:szCs w:val="16"/>
        </w:rPr>
        <w:t>............................................................................................................................</w:t>
      </w:r>
    </w:p>
    <w:p>
      <w:pPr>
        <w:pStyle w:val="Domylnie"/>
        <w:spacing w:lineRule="atLeast" w:line="115" w:before="0" w:after="28"/>
        <w:jc w:val="center"/>
        <w:rPr>
          <w:sz w:val="16"/>
          <w:szCs w:val="16"/>
        </w:rPr>
      </w:pPr>
      <w:r>
        <w:rPr>
          <w:rFonts w:ascii="Verdana" w:hAnsi="Verdana"/>
          <w:i/>
          <w:sz w:val="16"/>
          <w:szCs w:val="16"/>
        </w:rPr>
        <w:t>…</w:t>
      </w:r>
      <w:r>
        <w:rPr>
          <w:rFonts w:ascii="Verdana" w:hAnsi="Verdana"/>
          <w:i/>
          <w:sz w:val="16"/>
          <w:szCs w:val="16"/>
        </w:rPr>
        <w:t>.................................................................................................................................</w:t>
      </w:r>
    </w:p>
    <w:p>
      <w:pPr>
        <w:pStyle w:val="Domylnie"/>
        <w:spacing w:lineRule="atLeast" w:line="115" w:before="0" w:after="28"/>
        <w:jc w:val="center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Domylnie"/>
        <w:spacing w:lineRule="atLeast" w:line="115" w:before="0" w:after="28"/>
        <w:jc w:val="center"/>
        <w:rPr>
          <w:sz w:val="16"/>
          <w:szCs w:val="16"/>
        </w:rPr>
      </w:pPr>
      <w:r>
        <w:rPr>
          <w:rFonts w:ascii="Verdana" w:hAnsi="Verdana"/>
          <w:sz w:val="16"/>
          <w:szCs w:val="16"/>
        </w:rPr>
        <w:t>zgodnie z postanowieniami Umowy Nr ......./WIR/Z/......./.......... z dnia ............................</w:t>
      </w:r>
    </w:p>
    <w:p>
      <w:pPr>
        <w:pStyle w:val="Domylnie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Domylnie"/>
        <w:spacing w:lineRule="atLeast" w:line="115"/>
        <w:jc w:val="both"/>
        <w:rPr>
          <w:sz w:val="16"/>
          <w:szCs w:val="16"/>
        </w:rPr>
      </w:pPr>
      <w:r>
        <w:rPr>
          <w:rFonts w:ascii="Verdana" w:hAnsi="Verdana"/>
          <w:sz w:val="16"/>
          <w:szCs w:val="16"/>
        </w:rPr>
        <w:t>Imię i Nazwisko osoby/osób działających w imieniu Wykonawcy:</w:t>
      </w:r>
    </w:p>
    <w:p>
      <w:pPr>
        <w:pStyle w:val="Domylnie"/>
        <w:spacing w:lineRule="atLeast" w:line="115" w:before="0" w:after="0"/>
        <w:jc w:val="both"/>
        <w:rPr>
          <w:sz w:val="16"/>
          <w:szCs w:val="16"/>
        </w:rPr>
      </w:pPr>
      <w:r>
        <w:rPr>
          <w:rFonts w:ascii="Verdana" w:hAnsi="Verdana"/>
          <w:sz w:val="16"/>
          <w:szCs w:val="16"/>
        </w:rPr>
        <w:t>…</w:t>
      </w:r>
      <w:r>
        <w:rPr>
          <w:rFonts w:ascii="Verdana" w:hAnsi="Verdana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Domylnie"/>
        <w:spacing w:lineRule="atLeast" w:line="115" w:before="0" w:after="0"/>
        <w:jc w:val="center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ListParagraph"/>
        <w:spacing w:lineRule="atLeast" w:line="115"/>
        <w:ind w:left="709" w:hanging="720"/>
        <w:jc w:val="both"/>
        <w:rPr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  <w:u w:val="single"/>
        </w:rPr>
        <w:t>Wykonawcy (Gwarant):</w:t>
      </w:r>
    </w:p>
    <w:p>
      <w:pPr>
        <w:pStyle w:val="ListParagraph"/>
        <w:spacing w:lineRule="atLeast" w:line="115"/>
        <w:ind w:left="709" w:hanging="720"/>
        <w:jc w:val="both"/>
        <w:rPr>
          <w:sz w:val="16"/>
          <w:szCs w:val="16"/>
        </w:rPr>
      </w:pPr>
      <w:r>
        <w:rPr>
          <w:rFonts w:ascii="Verdana" w:hAnsi="Verdana"/>
          <w:i/>
          <w:iCs/>
          <w:color w:val="000000"/>
          <w:sz w:val="16"/>
          <w:szCs w:val="16"/>
        </w:rPr>
        <w:t>(nazwa i dane adresowe Wykonawcy)</w:t>
      </w:r>
    </w:p>
    <w:p>
      <w:pPr>
        <w:pStyle w:val="ListParagraph"/>
        <w:spacing w:lineRule="atLeast" w:line="115"/>
        <w:ind w:left="0" w:hanging="0"/>
        <w:jc w:val="both"/>
        <w:rPr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…</w:t>
      </w:r>
      <w:r>
        <w:rPr>
          <w:rFonts w:ascii="Verdana" w:hAnsi="Verdana"/>
          <w:color w:val="000000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ListParagraph"/>
        <w:spacing w:lineRule="atLeast" w:line="115"/>
        <w:ind w:left="0" w:hanging="0"/>
        <w:jc w:val="both"/>
        <w:rPr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  <w:u w:val="single"/>
        </w:rPr>
        <w:t>Uprawniony z tytułu gwarancji:</w:t>
      </w:r>
    </w:p>
    <w:p>
      <w:pPr>
        <w:pStyle w:val="ListParagraph"/>
        <w:spacing w:lineRule="atLeast" w:line="115"/>
        <w:ind w:left="0" w:hanging="0"/>
        <w:jc w:val="both"/>
        <w:rPr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Gmina – Miasto Płock, z siedzibą w Płocku, Stary Rynek 1, 09 – 400 Płock (Zamawiający).</w:t>
      </w:r>
    </w:p>
    <w:p>
      <w:pPr>
        <w:pStyle w:val="ListParagraph"/>
        <w:widowControl w:val="false"/>
        <w:numPr>
          <w:ilvl w:val="0"/>
          <w:numId w:val="1"/>
        </w:numPr>
        <w:tabs>
          <w:tab w:val="left" w:pos="708" w:leader="none"/>
          <w:tab w:val="left" w:pos="1428" w:leader="none"/>
          <w:tab w:val="left" w:pos="2148" w:leader="none"/>
          <w:tab w:val="left" w:pos="2868" w:leader="none"/>
          <w:tab w:val="left" w:pos="3588" w:leader="none"/>
          <w:tab w:val="left" w:pos="4308" w:leader="none"/>
          <w:tab w:val="left" w:pos="5028" w:leader="none"/>
          <w:tab w:val="left" w:pos="5748" w:leader="none"/>
          <w:tab w:val="left" w:pos="6468" w:leader="none"/>
          <w:tab w:val="left" w:pos="7188" w:leader="none"/>
          <w:tab w:val="left" w:pos="7483" w:leader="none"/>
        </w:tabs>
        <w:spacing w:lineRule="atLeast" w:line="200" w:before="0" w:after="120"/>
        <w:jc w:val="both"/>
        <w:rPr>
          <w:sz w:val="16"/>
          <w:szCs w:val="16"/>
        </w:rPr>
      </w:pPr>
      <w:r>
        <w:rPr>
          <w:rFonts w:cs="Verdana" w:ascii="Verdana" w:hAnsi="Verdana"/>
          <w:color w:val="000000"/>
          <w:sz w:val="16"/>
          <w:szCs w:val="16"/>
        </w:rPr>
        <w:t xml:space="preserve">Wykonawca (Gwarant) udziela gwarancji na roboty budowlane, w tym użyte materiały budowlane </w:t>
      </w:r>
      <w:r>
        <w:rPr>
          <w:rFonts w:cs="Verdana" w:ascii="Verdana" w:hAnsi="Verdana"/>
          <w:color w:val="00000A"/>
          <w:sz w:val="16"/>
          <w:szCs w:val="16"/>
        </w:rPr>
        <w:t xml:space="preserve">(na całość przedmiotu umowy) </w:t>
      </w:r>
      <w:r>
        <w:rPr>
          <w:rFonts w:cs="Verdana" w:ascii="Verdana" w:hAnsi="Verdana"/>
          <w:color w:val="000000"/>
          <w:sz w:val="16"/>
          <w:szCs w:val="16"/>
        </w:rPr>
        <w:t xml:space="preserve">wykonane w ramach umowy </w:t>
      </w:r>
      <w:r>
        <w:rPr>
          <w:rFonts w:ascii="Verdana" w:hAnsi="Verdana"/>
          <w:color w:val="000000"/>
          <w:sz w:val="16"/>
          <w:szCs w:val="16"/>
        </w:rPr>
        <w:t>Nr ......./WIR</w:t>
      </w:r>
      <w:bookmarkStart w:id="0" w:name="_GoBack"/>
      <w:bookmarkEnd w:id="0"/>
      <w:r>
        <w:rPr>
          <w:rFonts w:ascii="Verdana" w:hAnsi="Verdana"/>
          <w:color w:val="000000"/>
          <w:sz w:val="16"/>
          <w:szCs w:val="16"/>
        </w:rPr>
        <w:t xml:space="preserve">/Z/......./............. </w:t>
      </w:r>
      <w:r>
        <w:rPr>
          <w:rFonts w:cs="Verdana" w:ascii="Verdana" w:hAnsi="Verdana"/>
          <w:color w:val="000000"/>
          <w:sz w:val="16"/>
          <w:szCs w:val="16"/>
        </w:rPr>
        <w:t xml:space="preserve">...................... z dnia ................... roku (Umowa) na okres </w:t>
      </w:r>
      <w:r>
        <w:rPr>
          <w:rFonts w:cs="Verdana" w:ascii="Verdana" w:hAnsi="Verdana"/>
          <w:color w:val="000000"/>
          <w:sz w:val="16"/>
          <w:szCs w:val="16"/>
          <w:shd w:fill="FFFFFF" w:val="clear"/>
        </w:rPr>
        <w:t>…...........</w:t>
      </w:r>
      <w:r>
        <w:rPr>
          <w:rFonts w:cs="Verdana" w:ascii="Verdana" w:hAnsi="Verdana"/>
          <w:color w:val="000000"/>
          <w:sz w:val="16"/>
          <w:szCs w:val="16"/>
        </w:rPr>
        <w:t xml:space="preserve"> miesięcy od daty protokołu końcowego robót, tj. od dnia …............. roku do dnia ….......................... roku.</w:t>
      </w:r>
    </w:p>
    <w:p>
      <w:pPr>
        <w:pStyle w:val="ListParagraph"/>
        <w:widowControl w:val="false"/>
        <w:numPr>
          <w:ilvl w:val="0"/>
          <w:numId w:val="1"/>
        </w:numPr>
        <w:tabs>
          <w:tab w:val="left" w:pos="708" w:leader="none"/>
          <w:tab w:val="left" w:pos="1428" w:leader="none"/>
          <w:tab w:val="left" w:pos="2148" w:leader="none"/>
          <w:tab w:val="left" w:pos="2868" w:leader="none"/>
          <w:tab w:val="left" w:pos="3588" w:leader="none"/>
          <w:tab w:val="left" w:pos="4308" w:leader="none"/>
          <w:tab w:val="left" w:pos="5028" w:leader="none"/>
          <w:tab w:val="left" w:pos="5748" w:leader="none"/>
          <w:tab w:val="left" w:pos="6468" w:leader="none"/>
          <w:tab w:val="left" w:pos="7188" w:leader="none"/>
          <w:tab w:val="left" w:pos="7483" w:leader="none"/>
        </w:tabs>
        <w:spacing w:lineRule="atLeast" w:line="200" w:before="0" w:after="120"/>
        <w:jc w:val="both"/>
        <w:rPr>
          <w:sz w:val="16"/>
          <w:szCs w:val="16"/>
        </w:rPr>
      </w:pPr>
      <w:r>
        <w:rPr>
          <w:rFonts w:cs="Verdana" w:ascii="Verdana" w:hAnsi="Verdana"/>
          <w:color w:val="000000"/>
          <w:sz w:val="16"/>
          <w:szCs w:val="16"/>
        </w:rPr>
        <w:t>Wykonawca (Gwarant) odpowiada wobec Zamawiającego z tytułu niniejszej gwarancji za cały przedmiot Umowy, w tym także za części realizowane przez podwykonawców, w odniesieniu do wad powstałych w okresie ważności niniejszej gwarancji.</w:t>
      </w:r>
    </w:p>
    <w:p>
      <w:pPr>
        <w:pStyle w:val="ListParagraph"/>
        <w:widowControl w:val="false"/>
        <w:numPr>
          <w:ilvl w:val="0"/>
          <w:numId w:val="1"/>
        </w:numPr>
        <w:tabs>
          <w:tab w:val="left" w:pos="708" w:leader="none"/>
          <w:tab w:val="left" w:pos="1428" w:leader="none"/>
          <w:tab w:val="left" w:pos="2148" w:leader="none"/>
          <w:tab w:val="left" w:pos="2868" w:leader="none"/>
          <w:tab w:val="left" w:pos="3588" w:leader="none"/>
          <w:tab w:val="left" w:pos="4308" w:leader="none"/>
          <w:tab w:val="left" w:pos="5028" w:leader="none"/>
          <w:tab w:val="left" w:pos="5748" w:leader="none"/>
          <w:tab w:val="left" w:pos="6468" w:leader="none"/>
          <w:tab w:val="left" w:pos="7188" w:leader="none"/>
          <w:tab w:val="left" w:pos="7483" w:leader="none"/>
        </w:tabs>
        <w:spacing w:lineRule="atLeast" w:line="200" w:before="0" w:after="120"/>
        <w:jc w:val="both"/>
        <w:rPr>
          <w:sz w:val="16"/>
          <w:szCs w:val="16"/>
        </w:rPr>
      </w:pPr>
      <w:r>
        <w:rPr>
          <w:rFonts w:cs="Verdana" w:ascii="Verdana" w:hAnsi="Verdana"/>
          <w:color w:val="000000"/>
          <w:sz w:val="16"/>
          <w:szCs w:val="16"/>
        </w:rPr>
        <w:t xml:space="preserve">Wykonawca (Gwarant) zobowiązuje się do nieodpłatnego usunięcia wad fizycznych (usterek) niezwłocznie w szczególności poprzez wymianę wadliwej rzeczy, naprawę rzeczy lub ponowne wykonanie roboty budowlanej, nie dłużej niż w terminie </w:t>
      </w:r>
      <w:r>
        <w:rPr>
          <w:rFonts w:cs="Verdana" w:ascii="Verdana" w:hAnsi="Verdana"/>
          <w:color w:val="000000"/>
          <w:sz w:val="16"/>
          <w:szCs w:val="16"/>
          <w:shd w:fill="FFFFFF" w:val="clear"/>
        </w:rPr>
        <w:t xml:space="preserve">14 </w:t>
      </w:r>
      <w:r>
        <w:rPr>
          <w:rFonts w:cs="Verdana" w:ascii="Verdana" w:hAnsi="Verdana"/>
          <w:color w:val="000000"/>
          <w:sz w:val="16"/>
          <w:szCs w:val="16"/>
        </w:rPr>
        <w:t xml:space="preserve">dni od dnia otrzymania zgłoszenia, a w uzasadnionym przypadku, w dłuższym terminie wyznaczonym przez Zamawiającego. </w:t>
      </w:r>
    </w:p>
    <w:p>
      <w:pPr>
        <w:pStyle w:val="ListParagraph"/>
        <w:widowControl w:val="false"/>
        <w:numPr>
          <w:ilvl w:val="0"/>
          <w:numId w:val="1"/>
        </w:numPr>
        <w:tabs>
          <w:tab w:val="left" w:pos="708" w:leader="none"/>
          <w:tab w:val="left" w:pos="1428" w:leader="none"/>
          <w:tab w:val="left" w:pos="2148" w:leader="none"/>
          <w:tab w:val="left" w:pos="2868" w:leader="none"/>
          <w:tab w:val="left" w:pos="3588" w:leader="none"/>
          <w:tab w:val="left" w:pos="4308" w:leader="none"/>
          <w:tab w:val="left" w:pos="5028" w:leader="none"/>
          <w:tab w:val="left" w:pos="5748" w:leader="none"/>
          <w:tab w:val="left" w:pos="6468" w:leader="none"/>
          <w:tab w:val="left" w:pos="7188" w:leader="none"/>
          <w:tab w:val="left" w:pos="7483" w:leader="none"/>
        </w:tabs>
        <w:spacing w:lineRule="atLeast" w:line="200" w:before="0" w:after="120"/>
        <w:jc w:val="both"/>
        <w:rPr>
          <w:sz w:val="16"/>
          <w:szCs w:val="16"/>
        </w:rPr>
      </w:pPr>
      <w:r>
        <w:rPr>
          <w:rFonts w:cs="Verdana" w:ascii="Verdana" w:hAnsi="Verdana"/>
          <w:color w:val="000000"/>
          <w:sz w:val="16"/>
          <w:szCs w:val="16"/>
        </w:rPr>
        <w:t>Zamawiający jest obowiązany zgłosić wadę na piśmie.</w:t>
      </w:r>
    </w:p>
    <w:p>
      <w:pPr>
        <w:pStyle w:val="ListParagraph"/>
        <w:widowControl w:val="false"/>
        <w:numPr>
          <w:ilvl w:val="0"/>
          <w:numId w:val="1"/>
        </w:numPr>
        <w:tabs>
          <w:tab w:val="left" w:pos="708" w:leader="none"/>
          <w:tab w:val="left" w:pos="1428" w:leader="none"/>
          <w:tab w:val="left" w:pos="2148" w:leader="none"/>
          <w:tab w:val="left" w:pos="2868" w:leader="none"/>
          <w:tab w:val="left" w:pos="3588" w:leader="none"/>
          <w:tab w:val="left" w:pos="4308" w:leader="none"/>
          <w:tab w:val="left" w:pos="5028" w:leader="none"/>
          <w:tab w:val="left" w:pos="5748" w:leader="none"/>
          <w:tab w:val="left" w:pos="6468" w:leader="none"/>
          <w:tab w:val="left" w:pos="7188" w:leader="none"/>
          <w:tab w:val="left" w:pos="7483" w:leader="none"/>
        </w:tabs>
        <w:spacing w:lineRule="atLeast" w:line="200" w:before="0" w:after="120"/>
        <w:jc w:val="both"/>
        <w:rPr>
          <w:sz w:val="16"/>
          <w:szCs w:val="16"/>
        </w:rPr>
      </w:pPr>
      <w:r>
        <w:rPr>
          <w:rFonts w:cs="Verdana" w:ascii="Verdana" w:hAnsi="Verdana"/>
          <w:color w:val="000000"/>
          <w:sz w:val="16"/>
          <w:szCs w:val="16"/>
        </w:rPr>
        <w:t>Wykonawca (Gwarant) obowiązany jest podjąć działania zmierzające do usunięcia wady uwzględniając uzgodnioną z Zamawiającym technologię usuwania wady oraz zasady wiedzy i sztuki budowlanej.</w:t>
      </w:r>
    </w:p>
    <w:p>
      <w:pPr>
        <w:pStyle w:val="ListParagraph"/>
        <w:widowControl w:val="false"/>
        <w:numPr>
          <w:ilvl w:val="0"/>
          <w:numId w:val="1"/>
        </w:numPr>
        <w:tabs>
          <w:tab w:val="left" w:pos="708" w:leader="none"/>
          <w:tab w:val="left" w:pos="1428" w:leader="none"/>
          <w:tab w:val="left" w:pos="2148" w:leader="none"/>
          <w:tab w:val="left" w:pos="2868" w:leader="none"/>
          <w:tab w:val="left" w:pos="3588" w:leader="none"/>
          <w:tab w:val="left" w:pos="4308" w:leader="none"/>
          <w:tab w:val="left" w:pos="5028" w:leader="none"/>
          <w:tab w:val="left" w:pos="5748" w:leader="none"/>
          <w:tab w:val="left" w:pos="6468" w:leader="none"/>
          <w:tab w:val="left" w:pos="7188" w:leader="none"/>
          <w:tab w:val="left" w:pos="7483" w:leader="none"/>
        </w:tabs>
        <w:spacing w:lineRule="atLeast" w:line="200" w:before="0" w:after="120"/>
        <w:jc w:val="both"/>
        <w:rPr>
          <w:sz w:val="16"/>
          <w:szCs w:val="16"/>
        </w:rPr>
      </w:pPr>
      <w:r>
        <w:rPr>
          <w:rFonts w:ascii="Verdana" w:hAnsi="Verdana"/>
          <w:sz w:val="16"/>
          <w:szCs w:val="16"/>
        </w:rPr>
        <w:t>Wada zostanie usunięta w miejscu, w którym rzecz znajdowała się w chwili ujawnienia wady, choćby możliwe było odłączenie rzeczy od całości obiektu, a nadto Zamawiający nie ma obowiązku dostarczenia Wykonawcy wadliwej rzeczy.</w:t>
      </w:r>
    </w:p>
    <w:p>
      <w:pPr>
        <w:pStyle w:val="ListParagraph"/>
        <w:widowControl w:val="false"/>
        <w:numPr>
          <w:ilvl w:val="0"/>
          <w:numId w:val="1"/>
        </w:numPr>
        <w:tabs>
          <w:tab w:val="left" w:pos="708" w:leader="none"/>
          <w:tab w:val="left" w:pos="1428" w:leader="none"/>
          <w:tab w:val="left" w:pos="2148" w:leader="none"/>
          <w:tab w:val="left" w:pos="2868" w:leader="none"/>
          <w:tab w:val="left" w:pos="3588" w:leader="none"/>
          <w:tab w:val="left" w:pos="4308" w:leader="none"/>
          <w:tab w:val="left" w:pos="5028" w:leader="none"/>
          <w:tab w:val="left" w:pos="5748" w:leader="none"/>
          <w:tab w:val="left" w:pos="6468" w:leader="none"/>
          <w:tab w:val="left" w:pos="7188" w:leader="none"/>
          <w:tab w:val="left" w:pos="7483" w:leader="none"/>
        </w:tabs>
        <w:spacing w:lineRule="atLeast" w:line="200" w:before="0" w:after="120"/>
        <w:jc w:val="both"/>
        <w:rPr>
          <w:sz w:val="16"/>
          <w:szCs w:val="16"/>
        </w:rPr>
      </w:pPr>
      <w:r>
        <w:rPr>
          <w:rFonts w:cs="Verdana" w:ascii="Verdana" w:hAnsi="Verdana"/>
          <w:color w:val="000000"/>
          <w:sz w:val="16"/>
          <w:szCs w:val="16"/>
        </w:rPr>
        <w:t>Usunięcie wady uważa się za skuteczne z chwilą podpisania przez obie strony protokołu odbioru prac z usuwania wad lub po bezskutecznym upływie terminu wyznaczonego przez Wykonawcę (Gwaranta), po uprzednim jego uzgodnieniu z Zamawiającym, do odbioru wykonanych prac gwarancyjnych.</w:t>
      </w:r>
    </w:p>
    <w:p>
      <w:pPr>
        <w:pStyle w:val="ListParagraph"/>
        <w:widowControl w:val="false"/>
        <w:numPr>
          <w:ilvl w:val="0"/>
          <w:numId w:val="1"/>
        </w:numPr>
        <w:tabs>
          <w:tab w:val="left" w:pos="708" w:leader="none"/>
          <w:tab w:val="left" w:pos="1428" w:leader="none"/>
          <w:tab w:val="left" w:pos="2148" w:leader="none"/>
          <w:tab w:val="left" w:pos="2868" w:leader="none"/>
          <w:tab w:val="left" w:pos="3588" w:leader="none"/>
          <w:tab w:val="left" w:pos="4308" w:leader="none"/>
          <w:tab w:val="left" w:pos="5028" w:leader="none"/>
          <w:tab w:val="left" w:pos="5748" w:leader="none"/>
          <w:tab w:val="left" w:pos="6468" w:leader="none"/>
          <w:tab w:val="left" w:pos="7188" w:leader="none"/>
          <w:tab w:val="left" w:pos="7483" w:leader="none"/>
        </w:tabs>
        <w:spacing w:lineRule="atLeast" w:line="200" w:before="0" w:after="120"/>
        <w:jc w:val="both"/>
        <w:rPr>
          <w:color w:val="000000" w:themeColor="text1"/>
          <w:sz w:val="16"/>
          <w:szCs w:val="16"/>
        </w:rPr>
      </w:pPr>
      <w:r>
        <w:rPr>
          <w:rFonts w:eastAsia="Arial" w:cs="Verdana" w:ascii="Verdana" w:hAnsi="Verdana"/>
          <w:iCs/>
          <w:color w:val="000000" w:themeColor="text1"/>
          <w:sz w:val="16"/>
          <w:szCs w:val="16"/>
          <w:lang w:eastAsia="ar-SA"/>
        </w:rPr>
        <w:t>W przypadku nie usunięcia przez Wykonawcę zgłoszonej wady w wyznaczonym terminie lub usunięcia wady w sposób nienależyty, Zamawiający będzie uprawniony zlecić usunięcie wady osobie trzeciej na koszt i ryzyko Wykonawcy, bez utraty przez Zamawiającego uprawnień wynikających z tytułu gwarancji i rękojmi za wady, z zastrzeżeniem wcześniejszego wezwania Wykonawcy do usunięcia wad pod rygorem wykonawstwa zastępczego z wyznaczeniem mu w tym celu dodatkowego nie krótszego niż 7 dni terminu, który upłynął bezskutecznie.</w:t>
      </w:r>
    </w:p>
    <w:p>
      <w:pPr>
        <w:pStyle w:val="ListParagraph"/>
        <w:widowControl w:val="false"/>
        <w:numPr>
          <w:ilvl w:val="0"/>
          <w:numId w:val="1"/>
        </w:numPr>
        <w:tabs>
          <w:tab w:val="left" w:pos="708" w:leader="none"/>
          <w:tab w:val="left" w:pos="1428" w:leader="none"/>
          <w:tab w:val="left" w:pos="2148" w:leader="none"/>
          <w:tab w:val="left" w:pos="2868" w:leader="none"/>
          <w:tab w:val="left" w:pos="3588" w:leader="none"/>
          <w:tab w:val="left" w:pos="4308" w:leader="none"/>
          <w:tab w:val="left" w:pos="5028" w:leader="none"/>
          <w:tab w:val="left" w:pos="5748" w:leader="none"/>
          <w:tab w:val="left" w:pos="6468" w:leader="none"/>
          <w:tab w:val="left" w:pos="7188" w:leader="none"/>
          <w:tab w:val="left" w:pos="7483" w:leader="none"/>
        </w:tabs>
        <w:spacing w:lineRule="atLeast" w:line="200" w:before="0" w:after="120"/>
        <w:jc w:val="both"/>
        <w:rPr>
          <w:sz w:val="16"/>
          <w:szCs w:val="16"/>
        </w:rPr>
      </w:pPr>
      <w:r>
        <w:rPr>
          <w:rFonts w:cs="Verdana" w:ascii="Verdana" w:hAnsi="Verdana"/>
          <w:color w:val="000000"/>
          <w:sz w:val="16"/>
          <w:szCs w:val="16"/>
        </w:rPr>
        <w:t xml:space="preserve">Jeżeli w wykonaniu obowiązków z tytułu gwarancji Wykonawca dokonał usunięcia wady, termin gwarancji biegnie na nowo od daty protokołu usunięcia wady. </w:t>
      </w:r>
    </w:p>
    <w:p>
      <w:pPr>
        <w:pStyle w:val="ListParagraph"/>
        <w:widowControl w:val="false"/>
        <w:numPr>
          <w:ilvl w:val="0"/>
          <w:numId w:val="1"/>
        </w:numPr>
        <w:tabs>
          <w:tab w:val="left" w:pos="708" w:leader="none"/>
          <w:tab w:val="left" w:pos="1428" w:leader="none"/>
          <w:tab w:val="left" w:pos="2148" w:leader="none"/>
          <w:tab w:val="left" w:pos="2868" w:leader="none"/>
          <w:tab w:val="left" w:pos="3588" w:leader="none"/>
          <w:tab w:val="left" w:pos="4308" w:leader="none"/>
          <w:tab w:val="left" w:pos="5028" w:leader="none"/>
          <w:tab w:val="left" w:pos="5748" w:leader="none"/>
          <w:tab w:val="left" w:pos="6468" w:leader="none"/>
          <w:tab w:val="left" w:pos="7188" w:leader="none"/>
          <w:tab w:val="left" w:pos="7483" w:leader="none"/>
        </w:tabs>
        <w:spacing w:lineRule="atLeast" w:line="200" w:before="0" w:after="120"/>
        <w:jc w:val="both"/>
        <w:rPr>
          <w:sz w:val="16"/>
          <w:szCs w:val="16"/>
        </w:rPr>
      </w:pPr>
      <w:r>
        <w:rPr>
          <w:rFonts w:cs="Verdana" w:ascii="Verdana" w:hAnsi="Verdana"/>
          <w:color w:val="000000"/>
          <w:sz w:val="16"/>
          <w:szCs w:val="16"/>
        </w:rPr>
        <w:t xml:space="preserve">Zamawiający może dochodzić roszczeń wynikających z gwarancji także po upływie terminu gwarancyjnego, jeżeli zgłosił wadę Wykonawcy przed upływem tego terminu. </w:t>
      </w:r>
    </w:p>
    <w:p>
      <w:pPr>
        <w:pStyle w:val="ListParagraph"/>
        <w:widowControl w:val="false"/>
        <w:numPr>
          <w:ilvl w:val="0"/>
          <w:numId w:val="1"/>
        </w:numPr>
        <w:tabs>
          <w:tab w:val="left" w:pos="708" w:leader="none"/>
          <w:tab w:val="left" w:pos="1428" w:leader="none"/>
          <w:tab w:val="left" w:pos="2148" w:leader="none"/>
          <w:tab w:val="left" w:pos="2868" w:leader="none"/>
          <w:tab w:val="left" w:pos="3588" w:leader="none"/>
          <w:tab w:val="left" w:pos="4308" w:leader="none"/>
          <w:tab w:val="left" w:pos="5028" w:leader="none"/>
          <w:tab w:val="left" w:pos="5748" w:leader="none"/>
          <w:tab w:val="left" w:pos="6468" w:leader="none"/>
          <w:tab w:val="left" w:pos="7188" w:leader="none"/>
          <w:tab w:val="left" w:pos="7483" w:leader="none"/>
        </w:tabs>
        <w:spacing w:lineRule="atLeast" w:line="200" w:before="0" w:after="120"/>
        <w:jc w:val="both"/>
        <w:rPr>
          <w:sz w:val="16"/>
          <w:szCs w:val="16"/>
        </w:rPr>
      </w:pPr>
      <w:r>
        <w:rPr>
          <w:rFonts w:cs="Verdana" w:ascii="Verdana" w:hAnsi="Verdana"/>
          <w:color w:val="000000"/>
          <w:sz w:val="16"/>
          <w:szCs w:val="16"/>
        </w:rPr>
        <w:t>W terminie obowiązywania gwarancji prowadzone będą przeglądy gwarancyjne, wg następujących zasad:</w:t>
      </w:r>
    </w:p>
    <w:p>
      <w:pPr>
        <w:pStyle w:val="ListParagraph"/>
        <w:widowControl w:val="false"/>
        <w:tabs>
          <w:tab w:val="left" w:pos="708" w:leader="none"/>
          <w:tab w:val="left" w:pos="1428" w:leader="none"/>
          <w:tab w:val="left" w:pos="2148" w:leader="none"/>
          <w:tab w:val="left" w:pos="2868" w:leader="none"/>
          <w:tab w:val="left" w:pos="3588" w:leader="none"/>
          <w:tab w:val="left" w:pos="4308" w:leader="none"/>
          <w:tab w:val="left" w:pos="5028" w:leader="none"/>
          <w:tab w:val="left" w:pos="5748" w:leader="none"/>
          <w:tab w:val="left" w:pos="6468" w:leader="none"/>
          <w:tab w:val="left" w:pos="7188" w:leader="none"/>
          <w:tab w:val="left" w:pos="7483" w:leader="none"/>
        </w:tabs>
        <w:spacing w:lineRule="atLeast" w:line="200" w:before="0" w:after="120"/>
        <w:ind w:left="1416" w:hanging="696"/>
        <w:jc w:val="both"/>
        <w:rPr>
          <w:sz w:val="16"/>
          <w:szCs w:val="16"/>
        </w:rPr>
      </w:pPr>
      <w:r>
        <w:rPr>
          <w:rFonts w:cs="Verdana" w:ascii="Verdana" w:hAnsi="Verdana"/>
          <w:color w:val="000000"/>
          <w:sz w:val="16"/>
          <w:szCs w:val="16"/>
        </w:rPr>
        <w:t xml:space="preserve">11.1. </w:t>
        <w:tab/>
        <w:t>Komisyjne przeglądy gwarancyjne odbywać się będą co 6 miesięcy w okresie obowiązywania niniejszej gwarancji.</w:t>
      </w:r>
    </w:p>
    <w:p>
      <w:pPr>
        <w:pStyle w:val="ListParagraph"/>
        <w:widowControl w:val="false"/>
        <w:tabs>
          <w:tab w:val="left" w:pos="708" w:leader="none"/>
          <w:tab w:val="left" w:pos="1428" w:leader="none"/>
          <w:tab w:val="left" w:pos="2148" w:leader="none"/>
          <w:tab w:val="left" w:pos="2868" w:leader="none"/>
          <w:tab w:val="left" w:pos="3588" w:leader="none"/>
          <w:tab w:val="left" w:pos="4308" w:leader="none"/>
          <w:tab w:val="left" w:pos="5028" w:leader="none"/>
          <w:tab w:val="left" w:pos="5748" w:leader="none"/>
          <w:tab w:val="left" w:pos="6468" w:leader="none"/>
          <w:tab w:val="left" w:pos="7188" w:leader="none"/>
          <w:tab w:val="left" w:pos="7483" w:leader="none"/>
        </w:tabs>
        <w:spacing w:lineRule="atLeast" w:line="200" w:before="0" w:after="120"/>
        <w:ind w:left="1416" w:hanging="696"/>
        <w:jc w:val="both"/>
        <w:rPr>
          <w:sz w:val="16"/>
          <w:szCs w:val="16"/>
        </w:rPr>
      </w:pPr>
      <w:r>
        <w:rPr>
          <w:rFonts w:cs="Verdana" w:ascii="Verdana" w:hAnsi="Verdana"/>
          <w:color w:val="000000"/>
          <w:sz w:val="16"/>
          <w:szCs w:val="16"/>
        </w:rPr>
        <w:t xml:space="preserve">11.2. </w:t>
        <w:tab/>
        <w:t xml:space="preserve">Datę, godzinę i miejsce dokonania przeglądu gwarancyjnego wyznacza </w:t>
        <w:tab/>
        <w:t>Zamawiający, zawiadamiając o nim Wykonawcę (Gwaranta) na piśmie z co najmniej 14 dniowym wyprzedzeniem.</w:t>
      </w:r>
    </w:p>
    <w:p>
      <w:pPr>
        <w:pStyle w:val="ListParagraph"/>
        <w:widowControl w:val="false"/>
        <w:tabs>
          <w:tab w:val="left" w:pos="708" w:leader="none"/>
          <w:tab w:val="left" w:pos="1428" w:leader="none"/>
          <w:tab w:val="left" w:pos="2148" w:leader="none"/>
          <w:tab w:val="left" w:pos="2868" w:leader="none"/>
          <w:tab w:val="left" w:pos="3588" w:leader="none"/>
          <w:tab w:val="left" w:pos="4308" w:leader="none"/>
          <w:tab w:val="left" w:pos="5028" w:leader="none"/>
          <w:tab w:val="left" w:pos="5748" w:leader="none"/>
          <w:tab w:val="left" w:pos="6468" w:leader="none"/>
          <w:tab w:val="left" w:pos="7188" w:leader="none"/>
          <w:tab w:val="left" w:pos="7483" w:leader="none"/>
        </w:tabs>
        <w:spacing w:lineRule="atLeast" w:line="200" w:before="0" w:after="120"/>
        <w:ind w:left="1416" w:hanging="696"/>
        <w:jc w:val="both"/>
        <w:rPr>
          <w:sz w:val="16"/>
          <w:szCs w:val="16"/>
        </w:rPr>
      </w:pPr>
      <w:r>
        <w:rPr>
          <w:rFonts w:cs="Verdana" w:ascii="Verdana" w:hAnsi="Verdana"/>
          <w:color w:val="000000"/>
          <w:sz w:val="16"/>
          <w:szCs w:val="16"/>
        </w:rPr>
        <w:t xml:space="preserve">11.3. </w:t>
        <w:tab/>
        <w:t>W skład komisji przeglądowej będą wchodziły co najmniej dwie osoby wyznaczone przez Zamawiającego i oraz co najmniej dwie osoby wyznaczone przez Wykonawcę (Gwaranta).</w:t>
      </w:r>
    </w:p>
    <w:p>
      <w:pPr>
        <w:pStyle w:val="ListParagraph"/>
        <w:widowControl w:val="false"/>
        <w:tabs>
          <w:tab w:val="left" w:pos="708" w:leader="none"/>
          <w:tab w:val="left" w:pos="1428" w:leader="none"/>
          <w:tab w:val="left" w:pos="2148" w:leader="none"/>
          <w:tab w:val="left" w:pos="2868" w:leader="none"/>
          <w:tab w:val="left" w:pos="3588" w:leader="none"/>
          <w:tab w:val="left" w:pos="4308" w:leader="none"/>
          <w:tab w:val="left" w:pos="5028" w:leader="none"/>
          <w:tab w:val="left" w:pos="5748" w:leader="none"/>
          <w:tab w:val="left" w:pos="6468" w:leader="none"/>
          <w:tab w:val="left" w:pos="7188" w:leader="none"/>
          <w:tab w:val="left" w:pos="7483" w:leader="none"/>
        </w:tabs>
        <w:spacing w:lineRule="atLeast" w:line="200" w:before="0" w:after="120"/>
        <w:ind w:left="1416" w:hanging="696"/>
        <w:jc w:val="both"/>
        <w:rPr>
          <w:sz w:val="16"/>
          <w:szCs w:val="16"/>
        </w:rPr>
      </w:pPr>
      <w:r>
        <w:rPr>
          <w:rFonts w:cs="Verdana" w:ascii="Verdana" w:hAnsi="Verdana"/>
          <w:color w:val="000000"/>
          <w:sz w:val="16"/>
          <w:szCs w:val="16"/>
        </w:rPr>
        <w:t xml:space="preserve">11.4. </w:t>
        <w:tab/>
        <w:t xml:space="preserve">Jeżeli Wykonawca (Gwarant) został prawidłowo zawiadomiony o terminie i </w:t>
        <w:tab/>
        <w:t>miejscu dokonania przeglądu gwarancyjnego, tj. według zasad określonych w pkt  10.2., niestawienie się jego przedstawicieli nie będzie wywoływało żadnych ujemnych skutków dla ważności i skuteczności ustaleń dokonanych przez komisję przeglądową.</w:t>
      </w:r>
    </w:p>
    <w:p>
      <w:pPr>
        <w:pStyle w:val="ListParagraph"/>
        <w:widowControl w:val="false"/>
        <w:tabs>
          <w:tab w:val="left" w:pos="708" w:leader="none"/>
          <w:tab w:val="left" w:pos="1428" w:leader="none"/>
          <w:tab w:val="left" w:pos="2148" w:leader="none"/>
          <w:tab w:val="left" w:pos="2868" w:leader="none"/>
          <w:tab w:val="left" w:pos="3588" w:leader="none"/>
          <w:tab w:val="left" w:pos="4308" w:leader="none"/>
          <w:tab w:val="left" w:pos="5028" w:leader="none"/>
          <w:tab w:val="left" w:pos="5748" w:leader="none"/>
          <w:tab w:val="left" w:pos="6468" w:leader="none"/>
          <w:tab w:val="left" w:pos="7188" w:leader="none"/>
          <w:tab w:val="left" w:pos="7483" w:leader="none"/>
        </w:tabs>
        <w:spacing w:lineRule="atLeast" w:line="200" w:before="0" w:after="120"/>
        <w:ind w:left="1416" w:hanging="696"/>
        <w:jc w:val="both"/>
        <w:rPr>
          <w:sz w:val="16"/>
          <w:szCs w:val="16"/>
        </w:rPr>
      </w:pPr>
      <w:r>
        <w:rPr>
          <w:rFonts w:cs="Verdana" w:ascii="Verdana" w:hAnsi="Verdana"/>
          <w:color w:val="000000"/>
          <w:sz w:val="16"/>
          <w:szCs w:val="16"/>
        </w:rPr>
        <w:t xml:space="preserve">11.5. </w:t>
        <w:tab/>
        <w:t xml:space="preserve">Z każdego przeglądu gwarancyjnego sporządzony zostanie szczegółowy protokół przeglądu gwarancyjnego, w co najmniej dwóch egzemplarzach, po jednym dla </w:t>
        <w:tab/>
        <w:t xml:space="preserve">Zamawiającego i dla Wykonawcy (Gwaranta). W przypadku nieobecności </w:t>
        <w:tab/>
        <w:t>Wykonawcy (Gwaranta), Zamawiający niezwłocznie prześle Wykonawcy (Gwarantowi) egzemplarz protokołu przeglądu.</w:t>
      </w:r>
    </w:p>
    <w:p>
      <w:pPr>
        <w:pStyle w:val="ListParagraph"/>
        <w:widowControl w:val="false"/>
        <w:tabs>
          <w:tab w:val="left" w:pos="708" w:leader="none"/>
          <w:tab w:val="left" w:pos="1428" w:leader="none"/>
          <w:tab w:val="left" w:pos="2148" w:leader="none"/>
          <w:tab w:val="left" w:pos="2868" w:leader="none"/>
          <w:tab w:val="left" w:pos="3588" w:leader="none"/>
          <w:tab w:val="left" w:pos="4308" w:leader="none"/>
          <w:tab w:val="left" w:pos="5028" w:leader="none"/>
          <w:tab w:val="left" w:pos="5748" w:leader="none"/>
          <w:tab w:val="left" w:pos="6468" w:leader="none"/>
          <w:tab w:val="left" w:pos="7188" w:leader="none"/>
          <w:tab w:val="left" w:pos="7483" w:leader="none"/>
        </w:tabs>
        <w:spacing w:lineRule="atLeast" w:line="200" w:before="0" w:after="120"/>
        <w:ind w:left="1416" w:hanging="696"/>
        <w:jc w:val="both"/>
        <w:rPr>
          <w:sz w:val="16"/>
          <w:szCs w:val="16"/>
        </w:rPr>
      </w:pPr>
      <w:r>
        <w:rPr>
          <w:rFonts w:cs="Verdana" w:ascii="Verdana" w:hAnsi="Verdana"/>
          <w:color w:val="000000"/>
          <w:sz w:val="16"/>
          <w:szCs w:val="16"/>
        </w:rPr>
        <w:t xml:space="preserve">11.6. </w:t>
        <w:tab/>
        <w:t>W protokole przeglądu określony zostanie tryb i termin usunięcia wady, z uwzględnieniem zapisów niniejszej gwarancji jakości i Umowy.</w:t>
      </w:r>
    </w:p>
    <w:p>
      <w:pPr>
        <w:pStyle w:val="ListParagraph"/>
        <w:widowControl w:val="false"/>
        <w:tabs>
          <w:tab w:val="left" w:pos="708" w:leader="none"/>
          <w:tab w:val="left" w:pos="1428" w:leader="none"/>
          <w:tab w:val="left" w:pos="2148" w:leader="none"/>
          <w:tab w:val="left" w:pos="2868" w:leader="none"/>
          <w:tab w:val="left" w:pos="3588" w:leader="none"/>
          <w:tab w:val="left" w:pos="4308" w:leader="none"/>
          <w:tab w:val="left" w:pos="5028" w:leader="none"/>
          <w:tab w:val="left" w:pos="5748" w:leader="none"/>
          <w:tab w:val="left" w:pos="6468" w:leader="none"/>
          <w:tab w:val="left" w:pos="7188" w:leader="none"/>
          <w:tab w:val="left" w:pos="7483" w:leader="none"/>
        </w:tabs>
        <w:spacing w:lineRule="atLeast" w:line="200" w:before="0" w:after="120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ListParagraph"/>
        <w:widowControl w:val="false"/>
        <w:tabs>
          <w:tab w:val="left" w:pos="708" w:leader="none"/>
          <w:tab w:val="left" w:pos="1428" w:leader="none"/>
          <w:tab w:val="left" w:pos="2148" w:leader="none"/>
          <w:tab w:val="left" w:pos="2868" w:leader="none"/>
          <w:tab w:val="left" w:pos="3588" w:leader="none"/>
          <w:tab w:val="left" w:pos="4308" w:leader="none"/>
          <w:tab w:val="left" w:pos="5028" w:leader="none"/>
          <w:tab w:val="left" w:pos="5748" w:leader="none"/>
          <w:tab w:val="left" w:pos="6468" w:leader="none"/>
          <w:tab w:val="left" w:pos="7188" w:leader="none"/>
          <w:tab w:val="left" w:pos="7483" w:leader="none"/>
        </w:tabs>
        <w:spacing w:lineRule="atLeast" w:line="200" w:before="0" w:after="120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ListParagraph"/>
        <w:ind w:left="1080" w:hanging="0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ListParagraph"/>
        <w:tabs>
          <w:tab w:val="left" w:pos="708" w:leader="none"/>
          <w:tab w:val="left" w:pos="1417" w:leader="none"/>
          <w:tab w:val="left" w:pos="2126" w:leader="none"/>
          <w:tab w:val="left" w:pos="2835" w:leader="none"/>
          <w:tab w:val="left" w:pos="3544" w:leader="none"/>
          <w:tab w:val="left" w:pos="4253" w:leader="none"/>
          <w:tab w:val="left" w:pos="4962" w:leader="none"/>
          <w:tab w:val="left" w:pos="5671" w:leader="none"/>
          <w:tab w:val="left" w:pos="5672" w:leader="none"/>
          <w:tab w:val="left" w:pos="6380" w:leader="none"/>
          <w:tab w:val="left" w:pos="6557" w:leader="none"/>
        </w:tabs>
        <w:spacing w:lineRule="atLeast" w:line="115"/>
        <w:ind w:left="709" w:hanging="255"/>
        <w:jc w:val="right"/>
        <w:rPr>
          <w:sz w:val="16"/>
          <w:szCs w:val="16"/>
        </w:rPr>
      </w:pPr>
      <w:r>
        <w:rPr>
          <w:rFonts w:ascii="Verdana" w:hAnsi="Verdana"/>
          <w:sz w:val="16"/>
          <w:szCs w:val="16"/>
        </w:rPr>
        <w:tab/>
        <w:tab/>
        <w:tab/>
        <w:tab/>
        <w:tab/>
        <w:tab/>
        <w:tab/>
        <w:tab/>
        <w:tab/>
        <w:tab/>
        <w:tab/>
        <w:tab/>
        <w:tab/>
        <w:t>…...................................................................</w:t>
      </w:r>
    </w:p>
    <w:p>
      <w:pPr>
        <w:pStyle w:val="ListParagraph"/>
        <w:tabs>
          <w:tab w:val="left" w:pos="708" w:leader="none"/>
          <w:tab w:val="left" w:pos="1417" w:leader="none"/>
          <w:tab w:val="left" w:pos="2126" w:leader="none"/>
          <w:tab w:val="left" w:pos="2835" w:leader="none"/>
          <w:tab w:val="left" w:pos="3544" w:leader="none"/>
          <w:tab w:val="left" w:pos="4253" w:leader="none"/>
          <w:tab w:val="left" w:pos="4962" w:leader="none"/>
          <w:tab w:val="left" w:pos="5671" w:leader="none"/>
          <w:tab w:val="left" w:pos="5672" w:leader="none"/>
          <w:tab w:val="left" w:pos="6380" w:leader="none"/>
          <w:tab w:val="left" w:pos="6557" w:leader="none"/>
        </w:tabs>
        <w:spacing w:lineRule="atLeast" w:line="115" w:before="0" w:after="0"/>
        <w:ind w:left="709" w:hanging="255"/>
        <w:jc w:val="both"/>
        <w:rPr>
          <w:sz w:val="16"/>
          <w:szCs w:val="16"/>
        </w:rPr>
      </w:pPr>
      <w:r>
        <w:rPr>
          <w:rFonts w:ascii="Verdana" w:hAnsi="Verdana"/>
          <w:sz w:val="16"/>
          <w:szCs w:val="16"/>
        </w:rPr>
        <w:tab/>
        <w:tab/>
        <w:tab/>
        <w:tab/>
        <w:tab/>
        <w:tab/>
        <w:tab/>
        <w:tab/>
        <w:tab/>
      </w:r>
      <w:r>
        <w:rPr>
          <w:rFonts w:ascii="Verdana" w:hAnsi="Verdana"/>
          <w:i/>
          <w:iCs/>
          <w:sz w:val="16"/>
          <w:szCs w:val="16"/>
        </w:rPr>
        <w:t xml:space="preserve">(podpis i pieczęć osoby / osób upoważnionych </w:t>
      </w:r>
    </w:p>
    <w:p>
      <w:pPr>
        <w:pStyle w:val="ListParagraph"/>
        <w:tabs>
          <w:tab w:val="left" w:pos="708" w:leader="none"/>
          <w:tab w:val="left" w:pos="1417" w:leader="none"/>
          <w:tab w:val="left" w:pos="2126" w:leader="none"/>
          <w:tab w:val="left" w:pos="2835" w:leader="none"/>
          <w:tab w:val="left" w:pos="3544" w:leader="none"/>
          <w:tab w:val="left" w:pos="4253" w:leader="none"/>
          <w:tab w:val="left" w:pos="4962" w:leader="none"/>
          <w:tab w:val="left" w:pos="5671" w:leader="none"/>
          <w:tab w:val="left" w:pos="5672" w:leader="none"/>
          <w:tab w:val="left" w:pos="6380" w:leader="none"/>
          <w:tab w:val="left" w:pos="6557" w:leader="none"/>
        </w:tabs>
        <w:spacing w:before="0" w:after="0"/>
        <w:ind w:left="709" w:hanging="255"/>
        <w:jc w:val="both"/>
        <w:rPr>
          <w:sz w:val="16"/>
          <w:szCs w:val="16"/>
        </w:rPr>
      </w:pPr>
      <w:r>
        <w:rPr>
          <w:rFonts w:ascii="Verdana" w:hAnsi="Verdana"/>
          <w:i/>
          <w:iCs/>
          <w:sz w:val="16"/>
          <w:szCs w:val="16"/>
        </w:rPr>
        <w:tab/>
        <w:tab/>
        <w:tab/>
        <w:tab/>
        <w:tab/>
        <w:tab/>
        <w:tab/>
        <w:tab/>
        <w:tab/>
        <w:t xml:space="preserve">          do reprezentowania Wykonawcy)</w:t>
      </w:r>
    </w:p>
    <w:p>
      <w:pPr>
        <w:pStyle w:val="ListParagraph"/>
        <w:tabs>
          <w:tab w:val="left" w:pos="708" w:leader="none"/>
          <w:tab w:val="left" w:pos="1417" w:leader="none"/>
          <w:tab w:val="left" w:pos="2126" w:leader="none"/>
          <w:tab w:val="left" w:pos="2835" w:leader="none"/>
          <w:tab w:val="left" w:pos="3544" w:leader="none"/>
          <w:tab w:val="left" w:pos="4253" w:leader="none"/>
          <w:tab w:val="left" w:pos="4962" w:leader="none"/>
          <w:tab w:val="left" w:pos="5671" w:leader="none"/>
          <w:tab w:val="left" w:pos="5672" w:leader="none"/>
          <w:tab w:val="left" w:pos="6380" w:leader="none"/>
          <w:tab w:val="left" w:pos="6557" w:leader="none"/>
        </w:tabs>
        <w:spacing w:before="0" w:after="200"/>
        <w:ind w:left="709" w:hanging="255"/>
        <w:jc w:val="both"/>
        <w:rPr/>
      </w:pPr>
      <w:r>
        <w:rPr>
          <w:rFonts w:ascii="Verdana" w:hAnsi="Verdana"/>
          <w:i/>
          <w:iCs/>
          <w:sz w:val="16"/>
          <w:szCs w:val="16"/>
        </w:rPr>
        <w:tab/>
        <w:tab/>
        <w:tab/>
        <w:tab/>
        <w:tab/>
        <w:tab/>
        <w:tab/>
        <w:tab/>
        <w:tab/>
        <w:tab/>
        <w:tab/>
      </w:r>
    </w:p>
    <w:sectPr>
      <w:footerReference w:type="default" r:id="rId2"/>
      <w:type w:val="nextPage"/>
      <w:pgSz w:w="11906" w:h="16838"/>
      <w:pgMar w:left="1134" w:right="1134" w:header="0" w:top="568" w:footer="0" w:bottom="1843" w:gutter="0"/>
      <w:pgNumType w:fmt="decimal"/>
      <w:formProt w:val="false"/>
      <w:textDirection w:val="lrTb"/>
      <w:docGrid w:type="default" w:linePitch="30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  <w:font w:name="Tahoma">
    <w:charset w:val="ee"/>
    <w:family w:val="roman"/>
    <w:pitch w:val="variable"/>
  </w:font>
  <w:font w:name="Verdana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248331260"/>
    </w:sdtPr>
    <w:sdtContent>
      <w:p>
        <w:pPr>
          <w:pStyle w:val="Stopka"/>
          <w:jc w:val="right"/>
          <w:rPr/>
        </w:pPr>
        <w:r>
          <w:rPr/>
          <w:fldChar w:fldCharType="begin"/>
        </w:r>
        <w:r>
          <w:instrText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>
    <w:pPr>
      <w:pStyle w:val="Stopka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644" w:hanging="360"/>
      </w:pPr>
      <w:rPr>
        <w:sz w:val="16"/>
        <w:szCs w:val="16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2.%3."/>
      <w:lvlJc w:val="right"/>
      <w:pPr>
        <w:ind w:left="2084" w:hanging="180"/>
      </w:pPr>
    </w:lvl>
    <w:lvl w:ilvl="3">
      <w:start w:val="1"/>
      <w:numFmt w:val="decimal"/>
      <w:lvlText w:val="%2.%3.%4."/>
      <w:lvlJc w:val="left"/>
      <w:pPr>
        <w:ind w:left="2804" w:hanging="360"/>
      </w:pPr>
    </w:lvl>
    <w:lvl w:ilvl="4">
      <w:start w:val="1"/>
      <w:numFmt w:val="lowerLetter"/>
      <w:lvlText w:val="%2.%3.%4.%5."/>
      <w:lvlJc w:val="left"/>
      <w:pPr>
        <w:ind w:left="3524" w:hanging="360"/>
      </w:pPr>
    </w:lvl>
    <w:lvl w:ilvl="5">
      <w:start w:val="1"/>
      <w:numFmt w:val="lowerRoman"/>
      <w:lvlText w:val="%2.%3.%4.%5.%6."/>
      <w:lvlJc w:val="right"/>
      <w:pPr>
        <w:ind w:left="4244" w:hanging="180"/>
      </w:pPr>
    </w:lvl>
    <w:lvl w:ilvl="6">
      <w:start w:val="1"/>
      <w:numFmt w:val="decimal"/>
      <w:lvlText w:val="%2.%3.%4.%5.%6.%7."/>
      <w:lvlJc w:val="left"/>
      <w:pPr>
        <w:ind w:left="4964" w:hanging="360"/>
      </w:pPr>
    </w:lvl>
    <w:lvl w:ilvl="7">
      <w:start w:val="1"/>
      <w:numFmt w:val="lowerLetter"/>
      <w:lvlText w:val="%2.%3.%4.%5.%6.%7.%8."/>
      <w:lvlJc w:val="left"/>
      <w:pPr>
        <w:ind w:left="5684" w:hanging="360"/>
      </w:pPr>
    </w:lvl>
    <w:lvl w:ilvl="8">
      <w:start w:val="1"/>
      <w:numFmt w:val="lowerRoman"/>
      <w:lvlText w:val="%2.%3.%4.%5.%6.%7.%8.%9."/>
      <w:lvlJc w:val="right"/>
      <w:pPr>
        <w:ind w:left="6404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pl-PL" w:eastAsia="pl-PL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" w:cs="" w:asciiTheme="minorHAnsi" w:cstheme="minorBidi" w:eastAsiaTheme="minorEastAsia" w:hAnsiTheme="minorHAnsi"/>
      <w:color w:val="auto"/>
      <w:sz w:val="22"/>
      <w:szCs w:val="22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uiPriority w:val="99"/>
    <w:qFormat/>
    <w:rPr>
      <w:rFonts w:cs="Times New Roman"/>
    </w:rPr>
  </w:style>
  <w:style w:type="character" w:styleId="StopkaZnak" w:customStyle="1">
    <w:name w:val="Stopka Znak"/>
    <w:uiPriority w:val="99"/>
    <w:qFormat/>
    <w:rPr>
      <w:rFonts w:cs="Times New Roman"/>
    </w:rPr>
  </w:style>
  <w:style w:type="character" w:styleId="TekstdymkaZnak" w:customStyle="1">
    <w:name w:val="Tekst dymka Znak"/>
    <w:qFormat/>
    <w:rPr>
      <w:rFonts w:ascii="Times New Roman" w:hAnsi="Times New Roman" w:cs="Times New Roman"/>
      <w:sz w:val="2"/>
      <w:lang w:eastAsia="en-US"/>
    </w:rPr>
  </w:style>
  <w:style w:type="character" w:styleId="ListLabel1" w:customStyle="1">
    <w:name w:val="ListLabel 1"/>
    <w:qFormat/>
    <w:rPr>
      <w:rFonts w:cs="Times New Roman"/>
    </w:rPr>
  </w:style>
  <w:style w:type="character" w:styleId="ListLabel2" w:customStyle="1">
    <w:name w:val="ListLabel 2"/>
    <w:qFormat/>
    <w:rPr>
      <w:rFonts w:cs="Times New Roman"/>
      <w:b/>
    </w:rPr>
  </w:style>
  <w:style w:type="character" w:styleId="ListLabel3" w:customStyle="1">
    <w:name w:val="ListLabel 3"/>
    <w:qFormat/>
    <w:rPr>
      <w:rFonts w:eastAsia="Times New Roman" w:cs="Times New Roman"/>
    </w:rPr>
  </w:style>
  <w:style w:type="character" w:styleId="ListLabel4" w:customStyle="1">
    <w:name w:val="ListLabel 4"/>
    <w:qFormat/>
    <w:rPr>
      <w:rFonts w:cs="Times New Roman"/>
      <w:sz w:val="20"/>
      <w:szCs w:val="20"/>
    </w:rPr>
  </w:style>
  <w:style w:type="character" w:styleId="ListLabel5" w:customStyle="1">
    <w:name w:val="ListLabel 5"/>
    <w:qFormat/>
    <w:rPr>
      <w:b/>
    </w:rPr>
  </w:style>
  <w:style w:type="character" w:styleId="ListLabel6" w:customStyle="1">
    <w:name w:val="ListLabel 6"/>
    <w:qFormat/>
    <w:rPr>
      <w:rFonts w:cs="Symbol"/>
    </w:rPr>
  </w:style>
  <w:style w:type="character" w:styleId="ListLabel7" w:customStyle="1">
    <w:name w:val="ListLabel 7"/>
    <w:qFormat/>
    <w:rPr>
      <w:b/>
    </w:rPr>
  </w:style>
  <w:style w:type="character" w:styleId="ListLabel8" w:customStyle="1">
    <w:name w:val="ListLabel 8"/>
    <w:qFormat/>
    <w:rPr>
      <w:b/>
    </w:rPr>
  </w:style>
  <w:style w:type="character" w:styleId="ListLabel9">
    <w:name w:val="ListLabel 9"/>
    <w:qFormat/>
    <w:rPr>
      <w:sz w:val="16"/>
      <w:szCs w:val="16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 w:customStyle="1">
    <w:name w:val="Body Text"/>
    <w:basedOn w:val="Domylnie"/>
    <w:pPr>
      <w:spacing w:before="0" w:after="12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Domylnie"/>
    <w:qFormat/>
    <w:pPr>
      <w:suppressLineNumbers/>
    </w:pPr>
    <w:rPr>
      <w:rFonts w:cs="Mangal"/>
    </w:rPr>
  </w:style>
  <w:style w:type="paragraph" w:styleId="Domylnie" w:customStyle="1">
    <w:name w:val="Domyślnie"/>
    <w:qFormat/>
    <w:pPr>
      <w:widowControl/>
      <w:tabs>
        <w:tab w:val="left" w:pos="708" w:leader="none"/>
      </w:tabs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00000A"/>
      <w:sz w:val="22"/>
      <w:szCs w:val="22"/>
      <w:lang w:eastAsia="en-US" w:val="pl-PL" w:bidi="ar-SA"/>
    </w:rPr>
  </w:style>
  <w:style w:type="paragraph" w:styleId="Gwka" w:customStyle="1">
    <w:name w:val="Header"/>
    <w:basedOn w:val="Domylnie"/>
    <w:pPr>
      <w:keepNext/>
      <w:suppressLineNumbers/>
      <w:tabs>
        <w:tab w:val="center" w:pos="4536" w:leader="none"/>
        <w:tab w:val="right" w:pos="9072" w:leader="none"/>
      </w:tabs>
      <w:spacing w:lineRule="atLeast" w:line="100" w:before="240" w:after="0"/>
    </w:pPr>
    <w:rPr>
      <w:rFonts w:ascii="Arial" w:hAnsi="Arial" w:eastAsia="Lucida Sans Unicode" w:cs="Mangal"/>
      <w:sz w:val="28"/>
      <w:szCs w:val="28"/>
    </w:rPr>
  </w:style>
  <w:style w:type="paragraph" w:styleId="Sygnatura">
    <w:name w:val="Signature"/>
    <w:basedOn w:val="Domylni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Paragraph">
    <w:name w:val="List Paragraph"/>
    <w:basedOn w:val="Domylnie"/>
    <w:qFormat/>
    <w:pPr>
      <w:ind w:left="720" w:hanging="0"/>
    </w:pPr>
    <w:rPr/>
  </w:style>
  <w:style w:type="paragraph" w:styleId="Stopka">
    <w:name w:val="Footer"/>
    <w:basedOn w:val="Domylnie"/>
    <w:uiPriority w:val="99"/>
    <w:pPr>
      <w:suppressLineNumbers/>
      <w:tabs>
        <w:tab w:val="center" w:pos="4536" w:leader="none"/>
        <w:tab w:val="right" w:pos="9072" w:leader="none"/>
      </w:tabs>
      <w:spacing w:lineRule="atLeast" w:line="100" w:before="0" w:after="0"/>
    </w:pPr>
    <w:rPr/>
  </w:style>
  <w:style w:type="paragraph" w:styleId="BalloonText">
    <w:name w:val="Balloon Text"/>
    <w:basedOn w:val="Domylnie"/>
    <w:qFormat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Application>LibreOffice/5.3.3.2$Windows_x86 LibreOffice_project/3d9a8b4b4e538a85e0782bd6c2d430bafe583448</Application>
  <Pages>2</Pages>
  <Words>595</Words>
  <Characters>5270</Characters>
  <CharactersWithSpaces>5991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2016-04-05T09:39:00Z</dcterms:created>
  <dc:creator>Agata Turalska</dc:creator>
  <dc:description/>
  <dc:language>pl-PL</dc:language>
  <cp:lastModifiedBy>Agata Turalska</cp:lastModifiedBy>
  <cp:lastPrinted>2020-05-13T07:52:46Z</cp:lastPrinted>
  <dcterms:modified xsi:type="dcterms:W3CDTF">2020-02-05T10:34:00Z</dcterms:modified>
  <cp:revision>17</cp:revision>
  <dc:subject/>
  <dc:title>Protokół odbioru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